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3CC" w:rsidRDefault="006445BF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7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 w:rsidR="00EC073F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#1</w:t>
      </w:r>
      <w:r w:rsidR="00EC073F">
        <w:rPr>
          <w:rFonts w:ascii="Arial" w:hAnsi="Arial" w:cs="Arial"/>
          <w:b/>
          <w:color w:val="000000"/>
          <w:kern w:val="2"/>
          <w:sz w:val="24"/>
          <w:lang w:val="en-US"/>
        </w:rPr>
        <w:t>20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A92E9C" w:rsidRPr="00A92E9C">
        <w:rPr>
          <w:rFonts w:ascii="Arial" w:hAnsi="Arial" w:cs="Arial"/>
          <w:b/>
          <w:color w:val="000000"/>
          <w:kern w:val="2"/>
          <w:sz w:val="24"/>
          <w:lang w:val="en-US"/>
        </w:rPr>
        <w:t>R2-2212739</w:t>
      </w:r>
    </w:p>
    <w:p w:rsidR="00A92E9C" w:rsidRDefault="00A92E9C" w:rsidP="00A92E9C">
      <w:pPr>
        <w:tabs>
          <w:tab w:val="left" w:pos="1979"/>
        </w:tabs>
        <w:spacing w:after="180" w:line="240" w:lineRule="auto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>Toulouse, France, 14</w:t>
      </w:r>
      <w:r w:rsidRPr="00B2679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18</w:t>
      </w:r>
      <w:r w:rsidRPr="00B26798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Pr="00DD5A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November 2022</w:t>
      </w:r>
    </w:p>
    <w:p w:rsidR="001B23CC" w:rsidRDefault="006445B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13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7</w:t>
      </w:r>
    </w:p>
    <w:p w:rsidR="001B23CC" w:rsidRDefault="006445B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:rsidR="001B23CC" w:rsidRDefault="006445BF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on the SON</w:t>
      </w:r>
      <w:r>
        <w:rPr>
          <w:rFonts w:ascii="Arial" w:hAnsi="Arial" w:cs="Arial" w:hint="eastAsia"/>
          <w:b/>
          <w:bCs/>
          <w:sz w:val="24"/>
          <w:lang w:val="en-US"/>
        </w:rPr>
        <w:t>/</w:t>
      </w:r>
      <w:r>
        <w:rPr>
          <w:rFonts w:ascii="Arial" w:hAnsi="Arial" w:cs="Arial"/>
          <w:b/>
          <w:bCs/>
          <w:sz w:val="24"/>
          <w:lang w:val="en-US"/>
        </w:rPr>
        <w:t>MDT enhancement for NPN</w:t>
      </w:r>
    </w:p>
    <w:p w:rsidR="001B23CC" w:rsidRDefault="006445BF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/>
        </w:rPr>
        <w:t>Discussion and Decision</w:t>
      </w:r>
    </w:p>
    <w:p w:rsidR="001B23CC" w:rsidRDefault="006445BF">
      <w:pPr>
        <w:pStyle w:val="1"/>
        <w:rPr>
          <w:lang w:val="en-US"/>
        </w:rPr>
      </w:pPr>
      <w:bookmarkStart w:id="1" w:name="_Ref165266342"/>
      <w:r>
        <w:t>Introduction</w:t>
      </w:r>
      <w:bookmarkEnd w:id="1"/>
    </w:p>
    <w:p w:rsidR="001B23CC" w:rsidRDefault="006445BF">
      <w:pPr>
        <w:spacing w:line="360" w:lineRule="auto"/>
        <w:rPr>
          <w:szCs w:val="22"/>
          <w:lang w:val="en-US"/>
        </w:rPr>
      </w:pPr>
      <w:bookmarkStart w:id="2" w:name="OLE_LINK18"/>
      <w:r>
        <w:rPr>
          <w:rFonts w:hint="eastAsia"/>
          <w:lang w:val="en-US"/>
        </w:rPr>
        <w:t>Currently</w:t>
      </w:r>
      <w:r>
        <w:rPr>
          <w:lang w:val="en-US"/>
        </w:rPr>
        <w:t xml:space="preserve">, the </w:t>
      </w:r>
      <w:r>
        <w:rPr>
          <w:szCs w:val="22"/>
          <w:lang w:val="en-US"/>
        </w:rPr>
        <w:t xml:space="preserve">data collection enhancement in NR for SON/MDT purpose is only supported in the PLMN scenario while that in the NPN scenario is not supported. </w:t>
      </w:r>
      <w:r>
        <w:rPr>
          <w:rFonts w:hint="eastAsia"/>
          <w:szCs w:val="22"/>
          <w:lang w:val="en-US"/>
        </w:rPr>
        <w:t>In</w:t>
      </w:r>
      <w:r>
        <w:rPr>
          <w:szCs w:val="22"/>
          <w:lang w:val="en-US"/>
        </w:rPr>
        <w:t xml:space="preserve"> R18, the SON/MDT enhancement for NPN is to be supported for the network optimization. The agreements achieved in the last meeting on the SON/MDT enhancement for NPN scenario are as follows [1]: </w:t>
      </w:r>
    </w:p>
    <w:p w:rsidR="001B23CC" w:rsidRDefault="00644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ind w:left="1622" w:hanging="363"/>
        <w:jc w:val="left"/>
        <w:textAlignment w:val="auto"/>
        <w:rPr>
          <w:bCs/>
          <w:color w:val="000000"/>
          <w:szCs w:val="22"/>
          <w:lang w:val="en-US"/>
        </w:rPr>
      </w:pPr>
      <w:r>
        <w:rPr>
          <w:bCs/>
          <w:color w:val="000000"/>
          <w:szCs w:val="22"/>
          <w:lang w:val="en-US"/>
        </w:rPr>
        <w:t>1</w:t>
      </w:r>
      <w:r>
        <w:rPr>
          <w:bCs/>
          <w:color w:val="000000"/>
          <w:szCs w:val="22"/>
          <w:lang w:val="en-US"/>
        </w:rPr>
        <w:tab/>
      </w:r>
      <w:r>
        <w:rPr>
          <w:szCs w:val="22"/>
          <w:lang w:val="en-US"/>
        </w:rPr>
        <w:t>SNPN ID (e.g.,</w:t>
      </w:r>
      <w:r>
        <w:rPr>
          <w:bCs/>
          <w:color w:val="000000"/>
          <w:szCs w:val="22"/>
          <w:lang w:val="en-US"/>
        </w:rPr>
        <w:t>NID ID) checking is needed before sending the availability indication for corresponding SON and MDT report. The details can be discussed case by case. FFS PNI-NPN ID checking.</w:t>
      </w:r>
    </w:p>
    <w:p w:rsidR="001B23CC" w:rsidRDefault="00644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ind w:left="1622" w:hanging="363"/>
        <w:jc w:val="left"/>
        <w:textAlignment w:val="auto"/>
        <w:rPr>
          <w:szCs w:val="22"/>
          <w:lang w:val="en-US"/>
        </w:rPr>
      </w:pPr>
      <w:r>
        <w:rPr>
          <w:szCs w:val="22"/>
          <w:lang w:val="en-US"/>
        </w:rPr>
        <w:t>2</w:t>
      </w:r>
      <w:r>
        <w:rPr>
          <w:szCs w:val="22"/>
          <w:lang w:val="en-US"/>
        </w:rPr>
        <w:tab/>
        <w:t>Include the NPN ID into SON/MDT report, whether SNPN ID or PNI-NPN ID related info should be included can be discussed per use case.</w:t>
      </w:r>
    </w:p>
    <w:p w:rsidR="001B23CC" w:rsidRDefault="006445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before="100" w:beforeAutospacing="1" w:after="100" w:afterAutospacing="1" w:line="240" w:lineRule="auto"/>
        <w:ind w:left="1622" w:hanging="363"/>
        <w:jc w:val="left"/>
        <w:textAlignment w:val="auto"/>
        <w:rPr>
          <w:szCs w:val="22"/>
          <w:lang w:val="en-US"/>
        </w:rPr>
      </w:pPr>
      <w:r>
        <w:rPr>
          <w:szCs w:val="22"/>
          <w:lang w:val="en-US"/>
        </w:rPr>
        <w:t>3</w:t>
      </w:r>
      <w:r>
        <w:rPr>
          <w:szCs w:val="22"/>
          <w:lang w:val="en-US"/>
        </w:rPr>
        <w:tab/>
        <w:t>RAN2 prioritizes the use cases of RLF report and logged MDT enhancement for NPN.</w:t>
      </w:r>
    </w:p>
    <w:p w:rsidR="001B23CC" w:rsidRDefault="006445BF">
      <w:pPr>
        <w:spacing w:line="360" w:lineRule="auto"/>
        <w:rPr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>
        <w:rPr>
          <w:szCs w:val="22"/>
          <w:lang w:val="en-US"/>
        </w:rPr>
        <w:t xml:space="preserve">n this contribution, we provide our considerations on the support of </w:t>
      </w:r>
      <w:r w:rsidR="00357720">
        <w:rPr>
          <w:szCs w:val="22"/>
          <w:lang w:val="en-US"/>
        </w:rPr>
        <w:t>SON/</w:t>
      </w:r>
      <w:r>
        <w:rPr>
          <w:szCs w:val="22"/>
          <w:lang w:val="en-US"/>
        </w:rPr>
        <w:t>MDT enhancement for NPN.</w:t>
      </w:r>
    </w:p>
    <w:p w:rsidR="001B23CC" w:rsidRDefault="006445BF">
      <w:pPr>
        <w:pStyle w:val="1"/>
      </w:pPr>
      <w:bookmarkStart w:id="3" w:name="OLE_LINK4"/>
      <w:bookmarkStart w:id="4" w:name="OLE_LINK8"/>
      <w:bookmarkStart w:id="5" w:name="OLE_LINK6"/>
      <w:bookmarkStart w:id="6" w:name="OLE_LINK3"/>
      <w:bookmarkEnd w:id="2"/>
      <w:r>
        <w:t>Discussion</w:t>
      </w:r>
    </w:p>
    <w:p w:rsidR="00703717" w:rsidRDefault="00952C5F" w:rsidP="00641F06">
      <w:pPr>
        <w:spacing w:line="360" w:lineRule="auto"/>
        <w:rPr>
          <w:iCs/>
        </w:rPr>
      </w:pPr>
      <w:r>
        <w:rPr>
          <w:lang w:val="en-US"/>
        </w:rPr>
        <w:t>In the logged MDT for PLMN</w:t>
      </w:r>
      <w:r w:rsidR="0093632E">
        <w:rPr>
          <w:lang w:val="en-US"/>
        </w:rPr>
        <w:t>, the MDT PLMN list</w:t>
      </w:r>
      <w:r w:rsidR="007917DE">
        <w:rPr>
          <w:lang w:val="en-US"/>
        </w:rPr>
        <w:t xml:space="preserve"> </w:t>
      </w:r>
      <w:r w:rsidR="00FF1EEF">
        <w:rPr>
          <w:rFonts w:hint="eastAsia"/>
          <w:lang w:val="en-US"/>
        </w:rPr>
        <w:t>c</w:t>
      </w:r>
      <w:r w:rsidR="00FF1EEF">
        <w:rPr>
          <w:lang w:val="en-US"/>
        </w:rPr>
        <w:t xml:space="preserve">an be </w:t>
      </w:r>
      <w:r>
        <w:rPr>
          <w:lang w:val="en-US"/>
        </w:rPr>
        <w:t>configured</w:t>
      </w:r>
      <w:r w:rsidR="0093632E">
        <w:rPr>
          <w:lang w:val="en-US"/>
        </w:rPr>
        <w:t xml:space="preserve"> in the logged MDT configuration </w:t>
      </w:r>
      <w:r w:rsidR="00641F06">
        <w:rPr>
          <w:iCs/>
        </w:rPr>
        <w:t xml:space="preserve">to </w:t>
      </w:r>
      <w:r w:rsidR="00641F06">
        <w:rPr>
          <w:bCs/>
          <w:kern w:val="2"/>
          <w:lang w:eastAsia="en-GB"/>
        </w:rPr>
        <w:t>indicate</w:t>
      </w:r>
      <w:r w:rsidR="00641F06" w:rsidRPr="00962B3F">
        <w:rPr>
          <w:bCs/>
          <w:kern w:val="2"/>
          <w:lang w:eastAsia="en-GB"/>
        </w:rPr>
        <w:t xml:space="preserve"> a set of PLMNs defining when the UE performs measurement logging as well as the associated status indication and information retrieval</w:t>
      </w:r>
      <w:r w:rsidR="00641F06">
        <w:rPr>
          <w:iCs/>
        </w:rPr>
        <w:t xml:space="preserve">. </w:t>
      </w:r>
    </w:p>
    <w:p w:rsidR="00952C5F" w:rsidRPr="00C33C8B" w:rsidRDefault="00876797" w:rsidP="00641F06">
      <w:pPr>
        <w:spacing w:line="360" w:lineRule="auto"/>
        <w:rPr>
          <w:lang w:val="en-US"/>
        </w:rPr>
      </w:pPr>
      <w:r>
        <w:rPr>
          <w:bCs/>
          <w:kern w:val="2"/>
          <w:lang w:eastAsia="en-GB"/>
        </w:rPr>
        <w:t>To support the logged MDT for NP</w:t>
      </w:r>
      <w:r>
        <w:rPr>
          <w:rFonts w:hint="eastAsia"/>
          <w:bCs/>
          <w:kern w:val="2"/>
        </w:rPr>
        <w:t>N,</w:t>
      </w:r>
      <w:r>
        <w:rPr>
          <w:bCs/>
          <w:kern w:val="2"/>
        </w:rPr>
        <w:t xml:space="preserve"> the similar </w:t>
      </w:r>
      <w:r w:rsidR="00A17F44">
        <w:rPr>
          <w:bCs/>
          <w:kern w:val="2"/>
        </w:rPr>
        <w:t xml:space="preserve">mechanism </w:t>
      </w:r>
      <w:r>
        <w:rPr>
          <w:bCs/>
          <w:kern w:val="2"/>
        </w:rPr>
        <w:t xml:space="preserve">can </w:t>
      </w:r>
      <w:r w:rsidR="0093632E">
        <w:rPr>
          <w:bCs/>
          <w:kern w:val="2"/>
        </w:rPr>
        <w:t xml:space="preserve">also </w:t>
      </w:r>
      <w:r>
        <w:rPr>
          <w:bCs/>
          <w:kern w:val="2"/>
        </w:rPr>
        <w:t>be applied</w:t>
      </w:r>
      <w:r w:rsidR="00641F06">
        <w:rPr>
          <w:bCs/>
          <w:kern w:val="2"/>
        </w:rPr>
        <w:t xml:space="preserve"> </w:t>
      </w:r>
      <w:r w:rsidR="00A17F44">
        <w:rPr>
          <w:bCs/>
          <w:kern w:val="2"/>
        </w:rPr>
        <w:t xml:space="preserve">so as network can control UE to collect the </w:t>
      </w:r>
      <w:r w:rsidR="00A17F44">
        <w:rPr>
          <w:rFonts w:hint="eastAsia"/>
          <w:bCs/>
          <w:kern w:val="2"/>
        </w:rPr>
        <w:t>MDT</w:t>
      </w:r>
      <w:r w:rsidR="00A17F44">
        <w:rPr>
          <w:bCs/>
          <w:kern w:val="2"/>
        </w:rPr>
        <w:t xml:space="preserve"> measurements in certain NPNs, </w:t>
      </w:r>
      <w:r w:rsidR="00A17F44">
        <w:rPr>
          <w:rFonts w:hint="eastAsia"/>
          <w:bCs/>
          <w:kern w:val="2"/>
        </w:rPr>
        <w:t>i</w:t>
      </w:r>
      <w:r w:rsidR="00A17F44">
        <w:rPr>
          <w:bCs/>
          <w:kern w:val="2"/>
        </w:rPr>
        <w:t xml:space="preserve">.e. the </w:t>
      </w:r>
      <w:r>
        <w:rPr>
          <w:bCs/>
          <w:kern w:val="2"/>
        </w:rPr>
        <w:t xml:space="preserve">existing </w:t>
      </w:r>
      <w:r>
        <w:rPr>
          <w:i/>
          <w:iCs/>
        </w:rPr>
        <w:t xml:space="preserve">LoggedMeasurementConfiguration </w:t>
      </w:r>
      <w:r w:rsidR="00A17F44">
        <w:rPr>
          <w:iCs/>
        </w:rPr>
        <w:t xml:space="preserve">can be extend to </w:t>
      </w:r>
      <w:r>
        <w:rPr>
          <w:iCs/>
        </w:rPr>
        <w:t xml:space="preserve">include </w:t>
      </w:r>
      <w:r w:rsidR="0093632E">
        <w:rPr>
          <w:iCs/>
        </w:rPr>
        <w:t>the MDT NPN list</w:t>
      </w:r>
      <w:r w:rsidR="00C33C8B">
        <w:rPr>
          <w:i/>
          <w:iCs/>
        </w:rPr>
        <w:t xml:space="preserve">, </w:t>
      </w:r>
      <w:r w:rsidR="00C33C8B">
        <w:rPr>
          <w:iCs/>
        </w:rPr>
        <w:t>only when the registered NPN is part of this set of NPNs, UE can performs measurement logging as well as the availability indication and logged MDT report retrieval.</w:t>
      </w:r>
    </w:p>
    <w:p w:rsidR="00876797" w:rsidRDefault="00603396">
      <w:pPr>
        <w:spacing w:line="360" w:lineRule="auto"/>
        <w:rPr>
          <w:b/>
          <w:lang w:val="en-US"/>
        </w:rPr>
      </w:pPr>
      <w:r w:rsidRPr="00603396">
        <w:rPr>
          <w:rFonts w:hint="eastAsia"/>
          <w:b/>
          <w:lang w:val="en-US"/>
        </w:rPr>
        <w:t>Pro</w:t>
      </w:r>
      <w:r w:rsidRPr="00603396">
        <w:rPr>
          <w:b/>
          <w:lang w:val="en-US"/>
        </w:rPr>
        <w:t>posal</w:t>
      </w:r>
      <w:r w:rsidR="00ED3742">
        <w:rPr>
          <w:b/>
          <w:lang w:val="en-US"/>
        </w:rPr>
        <w:t xml:space="preserve"> 1</w:t>
      </w:r>
      <w:r>
        <w:rPr>
          <w:rFonts w:hint="eastAsia"/>
          <w:b/>
          <w:lang w:val="en-US"/>
        </w:rPr>
        <w:t>:</w:t>
      </w:r>
      <w:r w:rsidR="0093632E">
        <w:rPr>
          <w:b/>
          <w:lang w:val="en-US"/>
        </w:rPr>
        <w:t xml:space="preserve"> </w:t>
      </w:r>
      <w:r w:rsidR="004D555B">
        <w:rPr>
          <w:b/>
          <w:lang w:val="en-US"/>
        </w:rPr>
        <w:t>Introduce the</w:t>
      </w:r>
      <w:r w:rsidR="007917DE">
        <w:rPr>
          <w:b/>
          <w:lang w:val="en-US"/>
        </w:rPr>
        <w:t xml:space="preserve"> MDT NPN list </w:t>
      </w:r>
      <w:r w:rsidR="004D555B">
        <w:rPr>
          <w:b/>
          <w:lang w:val="en-US"/>
        </w:rPr>
        <w:t>in</w:t>
      </w:r>
      <w:r w:rsidR="007917DE">
        <w:rPr>
          <w:b/>
          <w:lang w:val="en-US"/>
        </w:rPr>
        <w:t xml:space="preserve"> the logged MDT configuration </w:t>
      </w:r>
      <w:r w:rsidR="004D555B">
        <w:rPr>
          <w:b/>
          <w:lang w:val="en-US"/>
        </w:rPr>
        <w:t>to indicate</w:t>
      </w:r>
      <w:r w:rsidR="004D555B" w:rsidRPr="004D555B">
        <w:rPr>
          <w:b/>
          <w:lang w:val="en-US"/>
        </w:rPr>
        <w:t xml:space="preserve"> the </w:t>
      </w:r>
      <w:r w:rsidR="004D555B">
        <w:rPr>
          <w:b/>
          <w:lang w:val="en-US"/>
        </w:rPr>
        <w:t>NPN</w:t>
      </w:r>
      <w:r w:rsidR="004D555B" w:rsidRPr="004D555B">
        <w:rPr>
          <w:b/>
          <w:lang w:val="en-US"/>
        </w:rPr>
        <w:t>s where measurement collection and log reporting is allowed.</w:t>
      </w:r>
    </w:p>
    <w:p w:rsidR="0043045B" w:rsidRDefault="007361EF">
      <w:pPr>
        <w:spacing w:line="360" w:lineRule="auto"/>
      </w:pPr>
      <w:r>
        <w:rPr>
          <w:lang w:val="en-US"/>
        </w:rPr>
        <w:t>Furtherly, in</w:t>
      </w:r>
      <w:r w:rsidR="007917DE">
        <w:rPr>
          <w:lang w:val="en-US"/>
        </w:rPr>
        <w:t xml:space="preserve"> addition to</w:t>
      </w:r>
      <w:r>
        <w:rPr>
          <w:lang w:val="en-US"/>
        </w:rPr>
        <w:t xml:space="preserve"> </w:t>
      </w:r>
      <w:r w:rsidR="00D55E7D">
        <w:rPr>
          <w:lang w:val="en-US"/>
        </w:rPr>
        <w:t xml:space="preserve">the restriction of </w:t>
      </w:r>
      <w:r>
        <w:rPr>
          <w:lang w:val="en-US"/>
        </w:rPr>
        <w:t xml:space="preserve">MDT PLMN list, the logging area </w:t>
      </w:r>
      <w:r w:rsidR="005B65FE">
        <w:rPr>
          <w:lang w:val="en-US"/>
        </w:rPr>
        <w:t xml:space="preserve">can also be indicated in the logged MDT configuration, </w:t>
      </w:r>
      <w:r w:rsidR="00D55E7D">
        <w:rPr>
          <w:lang w:val="en-US"/>
        </w:rPr>
        <w:t>consisting</w:t>
      </w:r>
      <w:r w:rsidR="005B65FE">
        <w:rPr>
          <w:lang w:val="en-US"/>
        </w:rPr>
        <w:t xml:space="preserve"> of </w:t>
      </w:r>
      <w:r w:rsidR="00B25BE4">
        <w:rPr>
          <w:lang w:val="en-US"/>
        </w:rPr>
        <w:t>the list of target cell</w:t>
      </w:r>
      <w:r w:rsidR="005B65FE">
        <w:rPr>
          <w:lang w:val="en-US"/>
        </w:rPr>
        <w:t>s</w:t>
      </w:r>
      <w:r w:rsidR="00432608">
        <w:rPr>
          <w:lang w:val="en-US"/>
        </w:rPr>
        <w:t>/</w:t>
      </w:r>
      <w:r w:rsidR="005647FA">
        <w:rPr>
          <w:lang w:val="en-US"/>
        </w:rPr>
        <w:t>tracking areas</w:t>
      </w:r>
      <w:r w:rsidR="00D55E7D">
        <w:rPr>
          <w:lang w:val="en-US"/>
        </w:rPr>
        <w:t xml:space="preserve"> </w:t>
      </w:r>
      <w:r w:rsidR="00432608">
        <w:rPr>
          <w:lang w:val="en-US"/>
        </w:rPr>
        <w:t>where UE</w:t>
      </w:r>
      <w:r w:rsidR="00B25BE4">
        <w:rPr>
          <w:lang w:val="en-US"/>
        </w:rPr>
        <w:t xml:space="preserve"> is allowed to perform </w:t>
      </w:r>
      <w:r w:rsidR="00432608">
        <w:rPr>
          <w:lang w:val="en-US"/>
        </w:rPr>
        <w:t>measurement logging</w:t>
      </w:r>
      <w:r w:rsidR="00D55E7D">
        <w:rPr>
          <w:lang w:val="en-US"/>
        </w:rPr>
        <w:t xml:space="preserve"> within the configured MDT PLMN list</w:t>
      </w:r>
      <w:r w:rsidR="00B25BE4">
        <w:rPr>
          <w:rFonts w:hint="eastAsia"/>
          <w:lang w:val="en-US"/>
        </w:rPr>
        <w:t>.</w:t>
      </w:r>
      <w:r w:rsidR="004D555B">
        <w:t xml:space="preserve"> </w:t>
      </w:r>
    </w:p>
    <w:p w:rsidR="00433766" w:rsidRDefault="005647FA" w:rsidP="005647FA">
      <w:pPr>
        <w:spacing w:line="360" w:lineRule="auto"/>
      </w:pPr>
      <w:r>
        <w:lastRenderedPageBreak/>
        <w:t xml:space="preserve">Similar to the logged MDT for PLMN, to support the measurement logging in NPN, network can also indicate the </w:t>
      </w:r>
      <w:r w:rsidR="00287D77">
        <w:t xml:space="preserve">target NPN </w:t>
      </w:r>
      <w:r>
        <w:t>cells</w:t>
      </w:r>
      <w:r w:rsidR="00287D77">
        <w:t>/</w:t>
      </w:r>
      <w:r>
        <w:t xml:space="preserve">tracking areas </w:t>
      </w:r>
      <w:r w:rsidR="00287D77">
        <w:t>list</w:t>
      </w:r>
      <w:r>
        <w:t xml:space="preserve"> </w:t>
      </w:r>
      <w:r w:rsidR="00287D77">
        <w:t xml:space="preserve">to restrict the logging to specific area within the configured </w:t>
      </w:r>
      <w:r w:rsidR="00287D77">
        <w:rPr>
          <w:rFonts w:hint="eastAsia"/>
        </w:rPr>
        <w:t>MDT</w:t>
      </w:r>
      <w:r w:rsidR="00287D77">
        <w:t xml:space="preserve"> </w:t>
      </w:r>
      <w:r w:rsidR="00287D77">
        <w:rPr>
          <w:rFonts w:hint="eastAsia"/>
        </w:rPr>
        <w:t>NPN</w:t>
      </w:r>
      <w:r w:rsidR="00287D77">
        <w:t xml:space="preserve"> </w:t>
      </w:r>
      <w:r w:rsidR="00287D77">
        <w:rPr>
          <w:rFonts w:hint="eastAsia"/>
        </w:rPr>
        <w:t>list</w:t>
      </w:r>
      <w:r w:rsidR="00287D77">
        <w:t>.</w:t>
      </w:r>
    </w:p>
    <w:p w:rsidR="00E07389" w:rsidRPr="004D555B" w:rsidRDefault="00610110">
      <w:pPr>
        <w:spacing w:line="360" w:lineRule="auto"/>
        <w:rPr>
          <w:b/>
          <w:lang w:val="en-US"/>
        </w:rPr>
      </w:pPr>
      <w:r w:rsidRPr="004D555B">
        <w:rPr>
          <w:rFonts w:hint="eastAsia"/>
          <w:b/>
          <w:lang w:val="en-US"/>
        </w:rPr>
        <w:t>P</w:t>
      </w:r>
      <w:r w:rsidRPr="004D555B">
        <w:rPr>
          <w:b/>
          <w:lang w:val="en-US"/>
        </w:rPr>
        <w:t>roposal</w:t>
      </w:r>
      <w:r w:rsidR="009A0FE1">
        <w:rPr>
          <w:b/>
          <w:lang w:val="en-US"/>
        </w:rPr>
        <w:t xml:space="preserve"> 2</w:t>
      </w:r>
      <w:r w:rsidRPr="004D555B">
        <w:rPr>
          <w:rFonts w:hint="eastAsia"/>
          <w:b/>
          <w:lang w:val="en-US"/>
        </w:rPr>
        <w:t>：</w:t>
      </w:r>
      <w:r w:rsidR="00287D77">
        <w:rPr>
          <w:b/>
          <w:lang w:val="en-US"/>
        </w:rPr>
        <w:t>Introduce the NPN related information in the logging area configuration to restrict the measurement logging to specific NPN cell/tracking areas</w:t>
      </w:r>
      <w:r w:rsidR="009A0FE1">
        <w:rPr>
          <w:b/>
          <w:lang w:val="en-US"/>
        </w:rPr>
        <w:t>.</w:t>
      </w:r>
    </w:p>
    <w:p w:rsidR="001B23CC" w:rsidRDefault="006445BF">
      <w:pPr>
        <w:spacing w:line="360" w:lineRule="auto"/>
      </w:pPr>
      <w:r>
        <w:rPr>
          <w:lang w:val="en-US"/>
        </w:rPr>
        <w:t xml:space="preserve">Currently, if there is no suitable cell to camp on, UE will enter to any cell selection state, and provide the OOC indication to network </w:t>
      </w:r>
      <w:r>
        <w:t xml:space="preserve">(e.g. </w:t>
      </w:r>
      <w:r>
        <w:rPr>
          <w:i/>
        </w:rPr>
        <w:t>anyCellSelectionDetected, noSuitableCellFound</w:t>
      </w:r>
      <w:r>
        <w:t>)</w:t>
      </w:r>
      <w:r>
        <w:rPr>
          <w:lang w:val="en-US"/>
        </w:rPr>
        <w:t xml:space="preserve"> to identify the coverage hole.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In NPN, UE operating in SNPN access mode or with CAG-only indication</w:t>
      </w:r>
      <w:r>
        <w:t xml:space="preserve"> can only camp on the cell which belongs to SNPN or </w:t>
      </w:r>
      <w:r>
        <w:rPr>
          <w:rFonts w:hint="eastAsia"/>
        </w:rPr>
        <w:t>UE</w:t>
      </w:r>
      <w:r>
        <w:t xml:space="preserve"> allowed CAG ID during the mobility in IDLE/INACTIVE</w:t>
      </w:r>
      <w:r>
        <w:rPr>
          <w:rFonts w:hint="eastAsia"/>
        </w:rPr>
        <w:t>/</w:t>
      </w:r>
      <w:r>
        <w:t>CONNECTED mode.</w:t>
      </w:r>
      <w:r>
        <w:rPr>
          <w:rFonts w:hint="eastAsia"/>
        </w:rPr>
        <w:t xml:space="preserve"> </w:t>
      </w:r>
      <w:r>
        <w:t xml:space="preserve">Otherwise, UE will enter to any cell selection state. In other words, </w:t>
      </w:r>
      <w:r>
        <w:rPr>
          <w:rFonts w:hint="eastAsia"/>
        </w:rPr>
        <w:t>a</w:t>
      </w:r>
      <w:r>
        <w:t xml:space="preserve"> UE may experience the out of coverage situation due to the access mode. In order to identify the coverage hole in NPN, the OOC indication </w:t>
      </w:r>
      <w:r w:rsidR="007A4128">
        <w:rPr>
          <w:rFonts w:hint="eastAsia"/>
        </w:rPr>
        <w:t>can</w:t>
      </w:r>
      <w:r>
        <w:t xml:space="preserve"> be supported for NPN and UE can report the NPN access mode for th</w:t>
      </w:r>
      <w:r w:rsidR="00C051FA">
        <w:t>e OOC analysis.</w:t>
      </w:r>
    </w:p>
    <w:p w:rsidR="00EC073F" w:rsidRPr="00C051FA" w:rsidRDefault="00EC073F">
      <w:pPr>
        <w:spacing w:line="360" w:lineRule="auto"/>
        <w:rPr>
          <w:b/>
        </w:rPr>
      </w:pPr>
      <w:r w:rsidRPr="00C051FA">
        <w:rPr>
          <w:b/>
        </w:rPr>
        <w:t>Observation</w:t>
      </w:r>
      <w:r w:rsidR="004D555B">
        <w:rPr>
          <w:b/>
        </w:rPr>
        <w:t xml:space="preserve"> 1</w:t>
      </w:r>
      <w:r w:rsidRPr="00C051FA">
        <w:rPr>
          <w:b/>
        </w:rPr>
        <w:t>:</w:t>
      </w:r>
      <w:r w:rsidR="004E555E">
        <w:rPr>
          <w:b/>
        </w:rPr>
        <w:t xml:space="preserve"> </w:t>
      </w:r>
      <w:r w:rsidR="00C051FA" w:rsidRPr="00C051FA">
        <w:rPr>
          <w:b/>
        </w:rPr>
        <w:t xml:space="preserve">For UE operating in SNPN access </w:t>
      </w:r>
      <w:r w:rsidR="00C051FA">
        <w:rPr>
          <w:b/>
        </w:rPr>
        <w:t>o</w:t>
      </w:r>
      <w:r w:rsidR="00C051FA" w:rsidRPr="00C051FA">
        <w:rPr>
          <w:b/>
        </w:rPr>
        <w:t>r with CAG-only indication, it may experience OCC due to</w:t>
      </w:r>
      <w:r w:rsidR="00C051FA">
        <w:rPr>
          <w:b/>
        </w:rPr>
        <w:t xml:space="preserve"> access mode limitation</w:t>
      </w:r>
      <w:r w:rsidR="00C051FA" w:rsidRPr="00C051FA">
        <w:rPr>
          <w:b/>
        </w:rPr>
        <w:t>.</w:t>
      </w:r>
    </w:p>
    <w:p w:rsidR="001B23CC" w:rsidRDefault="006445BF">
      <w:pPr>
        <w:spacing w:line="360" w:lineRule="auto"/>
        <w:rPr>
          <w:b/>
        </w:rPr>
      </w:pPr>
      <w:r>
        <w:rPr>
          <w:b/>
        </w:rPr>
        <w:t>Proposal 3: UE access mode (e.g. SNPN access mode or with CAG-only indicat</w:t>
      </w:r>
      <w:r w:rsidR="00C051FA">
        <w:rPr>
          <w:b/>
        </w:rPr>
        <w:t xml:space="preserve">ion) can be </w:t>
      </w:r>
      <w:bookmarkStart w:id="7" w:name="_GoBack"/>
      <w:bookmarkEnd w:id="7"/>
      <w:r w:rsidR="00C051FA">
        <w:rPr>
          <w:b/>
        </w:rPr>
        <w:t xml:space="preserve">reported to network for </w:t>
      </w:r>
      <w:r>
        <w:rPr>
          <w:b/>
        </w:rPr>
        <w:t>OOC analysis.</w:t>
      </w:r>
    </w:p>
    <w:bookmarkEnd w:id="3"/>
    <w:bookmarkEnd w:id="4"/>
    <w:bookmarkEnd w:id="5"/>
    <w:bookmarkEnd w:id="6"/>
    <w:p w:rsidR="001B23CC" w:rsidRDefault="006445BF">
      <w:pPr>
        <w:pStyle w:val="1"/>
      </w:pPr>
      <w:r>
        <w:rPr>
          <w:rFonts w:hint="eastAsia"/>
        </w:rPr>
        <w:t>Conclusions</w:t>
      </w:r>
    </w:p>
    <w:p w:rsidR="001B23CC" w:rsidRDefault="006445BF">
      <w:r>
        <w:t xml:space="preserve">During the discussion above, we have the following </w:t>
      </w:r>
      <w:r>
        <w:rPr>
          <w:rFonts w:hint="eastAsia"/>
          <w:lang w:val="en-US"/>
        </w:rPr>
        <w:t xml:space="preserve">observations and </w:t>
      </w:r>
      <w:r>
        <w:t>proposals:</w:t>
      </w:r>
    </w:p>
    <w:p w:rsidR="004D555B" w:rsidRDefault="004D555B" w:rsidP="004D555B">
      <w:pPr>
        <w:spacing w:line="360" w:lineRule="auto"/>
        <w:rPr>
          <w:b/>
        </w:rPr>
      </w:pPr>
      <w:r w:rsidRPr="00C051FA">
        <w:rPr>
          <w:b/>
        </w:rPr>
        <w:t>Observation</w:t>
      </w:r>
      <w:r>
        <w:rPr>
          <w:b/>
        </w:rPr>
        <w:t xml:space="preserve"> 1</w:t>
      </w:r>
      <w:r w:rsidRPr="00C051FA">
        <w:rPr>
          <w:b/>
        </w:rPr>
        <w:t>:</w:t>
      </w:r>
      <w:r>
        <w:rPr>
          <w:b/>
        </w:rPr>
        <w:t xml:space="preserve"> </w:t>
      </w:r>
      <w:r w:rsidRPr="00C051FA">
        <w:rPr>
          <w:b/>
        </w:rPr>
        <w:t xml:space="preserve">For UE operating in SNPN access </w:t>
      </w:r>
      <w:r>
        <w:rPr>
          <w:b/>
        </w:rPr>
        <w:t>o</w:t>
      </w:r>
      <w:r w:rsidRPr="00C051FA">
        <w:rPr>
          <w:b/>
        </w:rPr>
        <w:t>r with CAG-only indication, it may experience OCC due to</w:t>
      </w:r>
      <w:r>
        <w:rPr>
          <w:b/>
        </w:rPr>
        <w:t xml:space="preserve"> access mode limitation</w:t>
      </w:r>
      <w:r w:rsidRPr="00C051FA">
        <w:rPr>
          <w:b/>
        </w:rPr>
        <w:t>.</w:t>
      </w:r>
    </w:p>
    <w:p w:rsidR="004D555B" w:rsidRPr="00C051FA" w:rsidRDefault="004D555B" w:rsidP="004D555B">
      <w:pPr>
        <w:spacing w:line="360" w:lineRule="auto"/>
        <w:rPr>
          <w:b/>
        </w:rPr>
      </w:pPr>
    </w:p>
    <w:p w:rsidR="004D555B" w:rsidRDefault="004D555B" w:rsidP="004D555B">
      <w:pPr>
        <w:spacing w:line="360" w:lineRule="auto"/>
        <w:rPr>
          <w:b/>
          <w:lang w:val="en-US"/>
        </w:rPr>
      </w:pPr>
      <w:r w:rsidRPr="00603396">
        <w:rPr>
          <w:rFonts w:hint="eastAsia"/>
          <w:b/>
          <w:lang w:val="en-US"/>
        </w:rPr>
        <w:t>Pro</w:t>
      </w:r>
      <w:r w:rsidRPr="00603396">
        <w:rPr>
          <w:b/>
          <w:lang w:val="en-US"/>
        </w:rPr>
        <w:t>posal</w:t>
      </w:r>
      <w:r>
        <w:rPr>
          <w:b/>
          <w:lang w:val="en-US"/>
        </w:rPr>
        <w:t xml:space="preserve"> 1</w:t>
      </w:r>
      <w:r>
        <w:rPr>
          <w:rFonts w:hint="eastAsia"/>
          <w:b/>
          <w:lang w:val="en-US"/>
        </w:rPr>
        <w:t>:</w:t>
      </w:r>
      <w:r>
        <w:rPr>
          <w:b/>
          <w:lang w:val="en-US"/>
        </w:rPr>
        <w:t xml:space="preserve"> Introduce the MDT NPN list in the logged MDT configuration to indicate</w:t>
      </w:r>
      <w:r w:rsidRPr="004D555B">
        <w:rPr>
          <w:b/>
          <w:lang w:val="en-US"/>
        </w:rPr>
        <w:t xml:space="preserve"> the </w:t>
      </w:r>
      <w:r>
        <w:rPr>
          <w:b/>
          <w:lang w:val="en-US"/>
        </w:rPr>
        <w:t>NPN</w:t>
      </w:r>
      <w:r w:rsidRPr="004D555B">
        <w:rPr>
          <w:b/>
          <w:lang w:val="en-US"/>
        </w:rPr>
        <w:t>s where measurement collection and log reporting is allowed.</w:t>
      </w:r>
    </w:p>
    <w:p w:rsidR="00205629" w:rsidRPr="00205629" w:rsidRDefault="00205629" w:rsidP="004D555B">
      <w:pPr>
        <w:spacing w:line="360" w:lineRule="auto"/>
        <w:rPr>
          <w:b/>
          <w:lang w:val="en-US"/>
        </w:rPr>
      </w:pPr>
      <w:r w:rsidRPr="004D555B">
        <w:rPr>
          <w:rFonts w:hint="eastAsia"/>
          <w:b/>
          <w:lang w:val="en-US"/>
        </w:rPr>
        <w:t>P</w:t>
      </w:r>
      <w:r w:rsidRPr="004D555B">
        <w:rPr>
          <w:b/>
          <w:lang w:val="en-US"/>
        </w:rPr>
        <w:t>roposal</w:t>
      </w:r>
      <w:r>
        <w:rPr>
          <w:b/>
          <w:lang w:val="en-US"/>
        </w:rPr>
        <w:t xml:space="preserve"> 2</w:t>
      </w:r>
      <w:r w:rsidRPr="004D555B">
        <w:rPr>
          <w:rFonts w:hint="eastAsia"/>
          <w:b/>
          <w:lang w:val="en-US"/>
        </w:rPr>
        <w:t>：</w:t>
      </w:r>
      <w:r>
        <w:rPr>
          <w:b/>
          <w:lang w:val="en-US"/>
        </w:rPr>
        <w:t>Introduce the NPN related information in the logging area configuration to restrict the measurement logging to specific NPN cell/tracking areas.</w:t>
      </w:r>
    </w:p>
    <w:p w:rsidR="001B23CC" w:rsidRPr="000578DA" w:rsidRDefault="000578DA">
      <w:pPr>
        <w:spacing w:line="360" w:lineRule="auto"/>
        <w:rPr>
          <w:b/>
        </w:rPr>
      </w:pPr>
      <w:r>
        <w:rPr>
          <w:b/>
        </w:rPr>
        <w:t>Proposal 3: UE access mode (e.g. SNPN access mode or with CAG-only indication) can be reported to network for OOC analysis.</w:t>
      </w:r>
    </w:p>
    <w:p w:rsidR="001B23CC" w:rsidRDefault="006445BF">
      <w:pPr>
        <w:pStyle w:val="1"/>
      </w:pPr>
      <w:r>
        <w:rPr>
          <w:rFonts w:hint="eastAsia"/>
        </w:rPr>
        <w:t>References</w:t>
      </w:r>
    </w:p>
    <w:bookmarkEnd w:id="0"/>
    <w:p w:rsidR="001B23CC" w:rsidRPr="00FF1EEF" w:rsidRDefault="006445BF" w:rsidP="00FF1EEF">
      <w:pPr>
        <w:pStyle w:val="Reference"/>
        <w:rPr>
          <w:bCs/>
        </w:rPr>
      </w:pPr>
      <w:r>
        <w:rPr>
          <w:bCs/>
        </w:rPr>
        <w:t>R2-220xxx, Report of 3GPP TSG RAN WG2 meeting #119</w:t>
      </w:r>
      <w:r w:rsidR="00FF1EEF">
        <w:rPr>
          <w:bCs/>
        </w:rPr>
        <w:t>bis-e</w:t>
      </w:r>
      <w:r>
        <w:rPr>
          <w:bCs/>
        </w:rPr>
        <w:t>, Online.</w:t>
      </w:r>
    </w:p>
    <w:sectPr w:rsidR="001B23CC" w:rsidRPr="00FF1EEF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403" w:rsidRDefault="00885403">
      <w:pPr>
        <w:spacing w:line="240" w:lineRule="auto"/>
      </w:pPr>
      <w:r>
        <w:separator/>
      </w:r>
    </w:p>
  </w:endnote>
  <w:endnote w:type="continuationSeparator" w:id="0">
    <w:p w:rsidR="00885403" w:rsidRDefault="00885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5BF" w:rsidRDefault="006445BF">
    <w:pPr>
      <w:pStyle w:val="a4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F42D4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F42D4A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403" w:rsidRDefault="00885403">
      <w:pPr>
        <w:spacing w:after="0"/>
      </w:pPr>
      <w:r>
        <w:separator/>
      </w:r>
    </w:p>
  </w:footnote>
  <w:footnote w:type="continuationSeparator" w:id="0">
    <w:p w:rsidR="00885403" w:rsidRDefault="008854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0E6392"/>
    <w:multiLevelType w:val="multilevel"/>
    <w:tmpl w:val="190E639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1571"/>
    <w:rsid w:val="00001872"/>
    <w:rsid w:val="00003DE9"/>
    <w:rsid w:val="00006663"/>
    <w:rsid w:val="00012EC8"/>
    <w:rsid w:val="000151D8"/>
    <w:rsid w:val="0001738C"/>
    <w:rsid w:val="000245EA"/>
    <w:rsid w:val="00025CDD"/>
    <w:rsid w:val="0004209D"/>
    <w:rsid w:val="00047C7C"/>
    <w:rsid w:val="000576FD"/>
    <w:rsid w:val="000578DA"/>
    <w:rsid w:val="00061371"/>
    <w:rsid w:val="00064502"/>
    <w:rsid w:val="00064528"/>
    <w:rsid w:val="0006633D"/>
    <w:rsid w:val="000663E6"/>
    <w:rsid w:val="000669C5"/>
    <w:rsid w:val="000730E0"/>
    <w:rsid w:val="00075E1F"/>
    <w:rsid w:val="000A3F7E"/>
    <w:rsid w:val="000B050F"/>
    <w:rsid w:val="000B133A"/>
    <w:rsid w:val="000B1848"/>
    <w:rsid w:val="000B1F8D"/>
    <w:rsid w:val="000B5B9F"/>
    <w:rsid w:val="000C0981"/>
    <w:rsid w:val="000C7D11"/>
    <w:rsid w:val="000D03AD"/>
    <w:rsid w:val="000D4245"/>
    <w:rsid w:val="000D4DC6"/>
    <w:rsid w:val="000D551C"/>
    <w:rsid w:val="000D55F4"/>
    <w:rsid w:val="000E2594"/>
    <w:rsid w:val="000F28E5"/>
    <w:rsid w:val="000F3EA6"/>
    <w:rsid w:val="000F418E"/>
    <w:rsid w:val="0010154A"/>
    <w:rsid w:val="00102BA6"/>
    <w:rsid w:val="001033C0"/>
    <w:rsid w:val="00105BFE"/>
    <w:rsid w:val="00107FD7"/>
    <w:rsid w:val="00111C1B"/>
    <w:rsid w:val="00112328"/>
    <w:rsid w:val="0011503C"/>
    <w:rsid w:val="00115774"/>
    <w:rsid w:val="00120920"/>
    <w:rsid w:val="00122104"/>
    <w:rsid w:val="00122B06"/>
    <w:rsid w:val="001445C4"/>
    <w:rsid w:val="001456CA"/>
    <w:rsid w:val="00145B60"/>
    <w:rsid w:val="001620A1"/>
    <w:rsid w:val="001647DA"/>
    <w:rsid w:val="00166E65"/>
    <w:rsid w:val="0017268F"/>
    <w:rsid w:val="00174F73"/>
    <w:rsid w:val="0017692C"/>
    <w:rsid w:val="00176B51"/>
    <w:rsid w:val="001833CD"/>
    <w:rsid w:val="00183A26"/>
    <w:rsid w:val="00185532"/>
    <w:rsid w:val="0019047C"/>
    <w:rsid w:val="001959D2"/>
    <w:rsid w:val="001A335E"/>
    <w:rsid w:val="001A4573"/>
    <w:rsid w:val="001A468C"/>
    <w:rsid w:val="001B1EF5"/>
    <w:rsid w:val="001B23CC"/>
    <w:rsid w:val="001C3D6B"/>
    <w:rsid w:val="001D290C"/>
    <w:rsid w:val="001E2FC6"/>
    <w:rsid w:val="001F737F"/>
    <w:rsid w:val="001F7B11"/>
    <w:rsid w:val="00204309"/>
    <w:rsid w:val="00205629"/>
    <w:rsid w:val="00207DD9"/>
    <w:rsid w:val="00214280"/>
    <w:rsid w:val="0021434E"/>
    <w:rsid w:val="00214A0B"/>
    <w:rsid w:val="00215098"/>
    <w:rsid w:val="00215C4C"/>
    <w:rsid w:val="00234AF6"/>
    <w:rsid w:val="00234F10"/>
    <w:rsid w:val="00235825"/>
    <w:rsid w:val="002439FD"/>
    <w:rsid w:val="00246076"/>
    <w:rsid w:val="00247C53"/>
    <w:rsid w:val="002510F5"/>
    <w:rsid w:val="0025226D"/>
    <w:rsid w:val="00261285"/>
    <w:rsid w:val="002652CE"/>
    <w:rsid w:val="002655F2"/>
    <w:rsid w:val="00280E01"/>
    <w:rsid w:val="002823FF"/>
    <w:rsid w:val="00282E80"/>
    <w:rsid w:val="00287A94"/>
    <w:rsid w:val="00287D77"/>
    <w:rsid w:val="00287F6D"/>
    <w:rsid w:val="00293F6D"/>
    <w:rsid w:val="0029463B"/>
    <w:rsid w:val="002968C8"/>
    <w:rsid w:val="002A140E"/>
    <w:rsid w:val="002A20BC"/>
    <w:rsid w:val="002A27C8"/>
    <w:rsid w:val="002A345D"/>
    <w:rsid w:val="002A7E74"/>
    <w:rsid w:val="002B25FD"/>
    <w:rsid w:val="002B36F7"/>
    <w:rsid w:val="002B3D10"/>
    <w:rsid w:val="002C0E74"/>
    <w:rsid w:val="002C433B"/>
    <w:rsid w:val="002F0443"/>
    <w:rsid w:val="002F3B69"/>
    <w:rsid w:val="002F70CE"/>
    <w:rsid w:val="002F74E7"/>
    <w:rsid w:val="002F7732"/>
    <w:rsid w:val="00302D9B"/>
    <w:rsid w:val="00302F3D"/>
    <w:rsid w:val="00305094"/>
    <w:rsid w:val="003068AE"/>
    <w:rsid w:val="003068B4"/>
    <w:rsid w:val="003217B8"/>
    <w:rsid w:val="003253D8"/>
    <w:rsid w:val="0032641A"/>
    <w:rsid w:val="0033146F"/>
    <w:rsid w:val="0034027C"/>
    <w:rsid w:val="00340368"/>
    <w:rsid w:val="00344D1D"/>
    <w:rsid w:val="00344FAA"/>
    <w:rsid w:val="00351876"/>
    <w:rsid w:val="00354509"/>
    <w:rsid w:val="00357712"/>
    <w:rsid w:val="00357720"/>
    <w:rsid w:val="00361D69"/>
    <w:rsid w:val="00362E40"/>
    <w:rsid w:val="00367943"/>
    <w:rsid w:val="00370EBE"/>
    <w:rsid w:val="0037172E"/>
    <w:rsid w:val="00374A03"/>
    <w:rsid w:val="00387321"/>
    <w:rsid w:val="0039206B"/>
    <w:rsid w:val="003930E7"/>
    <w:rsid w:val="003940F3"/>
    <w:rsid w:val="00394831"/>
    <w:rsid w:val="003966AA"/>
    <w:rsid w:val="00396A6D"/>
    <w:rsid w:val="003A2270"/>
    <w:rsid w:val="003A6DDF"/>
    <w:rsid w:val="003A7187"/>
    <w:rsid w:val="003B1B9E"/>
    <w:rsid w:val="003B291D"/>
    <w:rsid w:val="003B4B05"/>
    <w:rsid w:val="003B5313"/>
    <w:rsid w:val="003B534B"/>
    <w:rsid w:val="003C3BB1"/>
    <w:rsid w:val="003C62E9"/>
    <w:rsid w:val="003C6A08"/>
    <w:rsid w:val="003D17E9"/>
    <w:rsid w:val="003D36A2"/>
    <w:rsid w:val="003D4993"/>
    <w:rsid w:val="003D63EC"/>
    <w:rsid w:val="003E4824"/>
    <w:rsid w:val="003E6EC8"/>
    <w:rsid w:val="003F01CC"/>
    <w:rsid w:val="003F734A"/>
    <w:rsid w:val="00407D6B"/>
    <w:rsid w:val="00416145"/>
    <w:rsid w:val="00421E97"/>
    <w:rsid w:val="0043045B"/>
    <w:rsid w:val="00431FC4"/>
    <w:rsid w:val="00432608"/>
    <w:rsid w:val="00433766"/>
    <w:rsid w:val="0043707B"/>
    <w:rsid w:val="00440043"/>
    <w:rsid w:val="00442D5E"/>
    <w:rsid w:val="00445E79"/>
    <w:rsid w:val="00452C1F"/>
    <w:rsid w:val="004545C6"/>
    <w:rsid w:val="0045506F"/>
    <w:rsid w:val="0045752C"/>
    <w:rsid w:val="00460ABB"/>
    <w:rsid w:val="00461E72"/>
    <w:rsid w:val="00463270"/>
    <w:rsid w:val="00463361"/>
    <w:rsid w:val="004722BD"/>
    <w:rsid w:val="00474CB4"/>
    <w:rsid w:val="0047520E"/>
    <w:rsid w:val="0048078C"/>
    <w:rsid w:val="00482504"/>
    <w:rsid w:val="0048288A"/>
    <w:rsid w:val="00486A7C"/>
    <w:rsid w:val="00492B84"/>
    <w:rsid w:val="00493FF0"/>
    <w:rsid w:val="0049457A"/>
    <w:rsid w:val="0049693C"/>
    <w:rsid w:val="0049783C"/>
    <w:rsid w:val="004A4797"/>
    <w:rsid w:val="004C123C"/>
    <w:rsid w:val="004C3075"/>
    <w:rsid w:val="004D010D"/>
    <w:rsid w:val="004D2BBA"/>
    <w:rsid w:val="004D555B"/>
    <w:rsid w:val="004E1B59"/>
    <w:rsid w:val="004E1D46"/>
    <w:rsid w:val="004E555E"/>
    <w:rsid w:val="004E6928"/>
    <w:rsid w:val="004F10D9"/>
    <w:rsid w:val="004F209F"/>
    <w:rsid w:val="004F5B27"/>
    <w:rsid w:val="004F60AE"/>
    <w:rsid w:val="004F79A7"/>
    <w:rsid w:val="00501E3D"/>
    <w:rsid w:val="0051161E"/>
    <w:rsid w:val="00512A04"/>
    <w:rsid w:val="00512D03"/>
    <w:rsid w:val="005154DE"/>
    <w:rsid w:val="00515AEF"/>
    <w:rsid w:val="00515B38"/>
    <w:rsid w:val="0052239A"/>
    <w:rsid w:val="00524364"/>
    <w:rsid w:val="0053660F"/>
    <w:rsid w:val="00542721"/>
    <w:rsid w:val="00542D1D"/>
    <w:rsid w:val="00552A31"/>
    <w:rsid w:val="00556BD3"/>
    <w:rsid w:val="00557651"/>
    <w:rsid w:val="00562EFC"/>
    <w:rsid w:val="005647FA"/>
    <w:rsid w:val="00566192"/>
    <w:rsid w:val="00572FF5"/>
    <w:rsid w:val="00573D77"/>
    <w:rsid w:val="00582830"/>
    <w:rsid w:val="00582FE7"/>
    <w:rsid w:val="0059253E"/>
    <w:rsid w:val="0059356B"/>
    <w:rsid w:val="005959F2"/>
    <w:rsid w:val="005A21F9"/>
    <w:rsid w:val="005A2712"/>
    <w:rsid w:val="005A794E"/>
    <w:rsid w:val="005B0A58"/>
    <w:rsid w:val="005B5B79"/>
    <w:rsid w:val="005B5DBE"/>
    <w:rsid w:val="005B65FE"/>
    <w:rsid w:val="005B6964"/>
    <w:rsid w:val="005B7D81"/>
    <w:rsid w:val="005C50C6"/>
    <w:rsid w:val="005C774A"/>
    <w:rsid w:val="005D3217"/>
    <w:rsid w:val="005E01A6"/>
    <w:rsid w:val="005E4E16"/>
    <w:rsid w:val="005E4F0B"/>
    <w:rsid w:val="005F1340"/>
    <w:rsid w:val="005F33BF"/>
    <w:rsid w:val="005F45E2"/>
    <w:rsid w:val="00600338"/>
    <w:rsid w:val="00603396"/>
    <w:rsid w:val="006037B0"/>
    <w:rsid w:val="00610110"/>
    <w:rsid w:val="00610A59"/>
    <w:rsid w:val="00611DA7"/>
    <w:rsid w:val="006121C8"/>
    <w:rsid w:val="00612A78"/>
    <w:rsid w:val="00614FF2"/>
    <w:rsid w:val="006211A2"/>
    <w:rsid w:val="0062510E"/>
    <w:rsid w:val="00625A32"/>
    <w:rsid w:val="00627595"/>
    <w:rsid w:val="0063540C"/>
    <w:rsid w:val="00641F06"/>
    <w:rsid w:val="006445BF"/>
    <w:rsid w:val="00652EBF"/>
    <w:rsid w:val="006648E8"/>
    <w:rsid w:val="00672DE0"/>
    <w:rsid w:val="00680F60"/>
    <w:rsid w:val="00684EAD"/>
    <w:rsid w:val="0068707F"/>
    <w:rsid w:val="00691364"/>
    <w:rsid w:val="00693911"/>
    <w:rsid w:val="006A114B"/>
    <w:rsid w:val="006B27A4"/>
    <w:rsid w:val="006B4BB3"/>
    <w:rsid w:val="006B7A04"/>
    <w:rsid w:val="006C1410"/>
    <w:rsid w:val="006C2508"/>
    <w:rsid w:val="006C3820"/>
    <w:rsid w:val="006C3875"/>
    <w:rsid w:val="006C41BD"/>
    <w:rsid w:val="006D07CC"/>
    <w:rsid w:val="006D123D"/>
    <w:rsid w:val="006D3186"/>
    <w:rsid w:val="006D3D89"/>
    <w:rsid w:val="006E4BE0"/>
    <w:rsid w:val="006E549A"/>
    <w:rsid w:val="006E59DE"/>
    <w:rsid w:val="006F7B87"/>
    <w:rsid w:val="0070088D"/>
    <w:rsid w:val="00700BD6"/>
    <w:rsid w:val="00703717"/>
    <w:rsid w:val="00704884"/>
    <w:rsid w:val="0070780F"/>
    <w:rsid w:val="00714309"/>
    <w:rsid w:val="00716DAE"/>
    <w:rsid w:val="007302CC"/>
    <w:rsid w:val="00730B54"/>
    <w:rsid w:val="00731225"/>
    <w:rsid w:val="007361EF"/>
    <w:rsid w:val="00755F41"/>
    <w:rsid w:val="0076370A"/>
    <w:rsid w:val="00763CB2"/>
    <w:rsid w:val="00765D91"/>
    <w:rsid w:val="00780A93"/>
    <w:rsid w:val="00790D19"/>
    <w:rsid w:val="007917DE"/>
    <w:rsid w:val="00792478"/>
    <w:rsid w:val="0079270E"/>
    <w:rsid w:val="00794EB3"/>
    <w:rsid w:val="007A1F61"/>
    <w:rsid w:val="007A4128"/>
    <w:rsid w:val="007B58E1"/>
    <w:rsid w:val="007C0AFE"/>
    <w:rsid w:val="007C2969"/>
    <w:rsid w:val="007C6B16"/>
    <w:rsid w:val="007D7B36"/>
    <w:rsid w:val="007E131C"/>
    <w:rsid w:val="007E26AB"/>
    <w:rsid w:val="007E2BA4"/>
    <w:rsid w:val="007F0558"/>
    <w:rsid w:val="00806A2D"/>
    <w:rsid w:val="00806DC6"/>
    <w:rsid w:val="008079A2"/>
    <w:rsid w:val="00811ED7"/>
    <w:rsid w:val="008136BB"/>
    <w:rsid w:val="0081575A"/>
    <w:rsid w:val="00815E4F"/>
    <w:rsid w:val="008173E2"/>
    <w:rsid w:val="00820128"/>
    <w:rsid w:val="008275B3"/>
    <w:rsid w:val="008308A2"/>
    <w:rsid w:val="00830DFD"/>
    <w:rsid w:val="00834B64"/>
    <w:rsid w:val="008351FF"/>
    <w:rsid w:val="00843075"/>
    <w:rsid w:val="00844E59"/>
    <w:rsid w:val="0084617D"/>
    <w:rsid w:val="00846326"/>
    <w:rsid w:val="00846A5C"/>
    <w:rsid w:val="008478A4"/>
    <w:rsid w:val="0085677F"/>
    <w:rsid w:val="008630B6"/>
    <w:rsid w:val="0086347D"/>
    <w:rsid w:val="008636C3"/>
    <w:rsid w:val="00865361"/>
    <w:rsid w:val="00866C15"/>
    <w:rsid w:val="0087518D"/>
    <w:rsid w:val="00876797"/>
    <w:rsid w:val="0088297F"/>
    <w:rsid w:val="00882FE5"/>
    <w:rsid w:val="00885403"/>
    <w:rsid w:val="0088737D"/>
    <w:rsid w:val="00890D8A"/>
    <w:rsid w:val="00896991"/>
    <w:rsid w:val="008A45B8"/>
    <w:rsid w:val="008A4F51"/>
    <w:rsid w:val="008B6414"/>
    <w:rsid w:val="008C7A01"/>
    <w:rsid w:val="008D0CF9"/>
    <w:rsid w:val="008D2A23"/>
    <w:rsid w:val="008D41EC"/>
    <w:rsid w:val="008D5411"/>
    <w:rsid w:val="008E2041"/>
    <w:rsid w:val="008E2DAD"/>
    <w:rsid w:val="008E6FA0"/>
    <w:rsid w:val="008F1126"/>
    <w:rsid w:val="008F320B"/>
    <w:rsid w:val="009070CB"/>
    <w:rsid w:val="009112D3"/>
    <w:rsid w:val="00911770"/>
    <w:rsid w:val="00916B61"/>
    <w:rsid w:val="00927DF8"/>
    <w:rsid w:val="009319A1"/>
    <w:rsid w:val="009362C8"/>
    <w:rsid w:val="0093632E"/>
    <w:rsid w:val="009363C5"/>
    <w:rsid w:val="009444D7"/>
    <w:rsid w:val="00952C5F"/>
    <w:rsid w:val="00961F14"/>
    <w:rsid w:val="00967BD3"/>
    <w:rsid w:val="00975705"/>
    <w:rsid w:val="00977553"/>
    <w:rsid w:val="00981894"/>
    <w:rsid w:val="00983E8E"/>
    <w:rsid w:val="00986044"/>
    <w:rsid w:val="00987275"/>
    <w:rsid w:val="00987DE8"/>
    <w:rsid w:val="009925CA"/>
    <w:rsid w:val="009928AE"/>
    <w:rsid w:val="00996200"/>
    <w:rsid w:val="009A0358"/>
    <w:rsid w:val="009A0FE1"/>
    <w:rsid w:val="009A120B"/>
    <w:rsid w:val="009A4CAE"/>
    <w:rsid w:val="009A4F49"/>
    <w:rsid w:val="009A7F2D"/>
    <w:rsid w:val="009B0901"/>
    <w:rsid w:val="009B0A33"/>
    <w:rsid w:val="009B615F"/>
    <w:rsid w:val="009C3410"/>
    <w:rsid w:val="009C3E1D"/>
    <w:rsid w:val="009C69A9"/>
    <w:rsid w:val="009D38C7"/>
    <w:rsid w:val="009D3F8B"/>
    <w:rsid w:val="009E5F66"/>
    <w:rsid w:val="009E6EAC"/>
    <w:rsid w:val="009F25A6"/>
    <w:rsid w:val="009F39BD"/>
    <w:rsid w:val="009F526E"/>
    <w:rsid w:val="009F52D8"/>
    <w:rsid w:val="009F7CA5"/>
    <w:rsid w:val="00A01D76"/>
    <w:rsid w:val="00A152A9"/>
    <w:rsid w:val="00A15642"/>
    <w:rsid w:val="00A17F44"/>
    <w:rsid w:val="00A22A78"/>
    <w:rsid w:val="00A32A27"/>
    <w:rsid w:val="00A44A87"/>
    <w:rsid w:val="00A45164"/>
    <w:rsid w:val="00A45D6F"/>
    <w:rsid w:val="00A46E00"/>
    <w:rsid w:val="00A52104"/>
    <w:rsid w:val="00A62B03"/>
    <w:rsid w:val="00A678F7"/>
    <w:rsid w:val="00A720C7"/>
    <w:rsid w:val="00A72EF1"/>
    <w:rsid w:val="00A8141A"/>
    <w:rsid w:val="00A84D1C"/>
    <w:rsid w:val="00A86D29"/>
    <w:rsid w:val="00A92E9C"/>
    <w:rsid w:val="00AA0627"/>
    <w:rsid w:val="00AA315F"/>
    <w:rsid w:val="00AA4649"/>
    <w:rsid w:val="00AC0F1C"/>
    <w:rsid w:val="00AC2367"/>
    <w:rsid w:val="00AC2C36"/>
    <w:rsid w:val="00AC5503"/>
    <w:rsid w:val="00AC551E"/>
    <w:rsid w:val="00AD1D8B"/>
    <w:rsid w:val="00AD686D"/>
    <w:rsid w:val="00AD79AA"/>
    <w:rsid w:val="00AE0603"/>
    <w:rsid w:val="00AE282B"/>
    <w:rsid w:val="00AE30A1"/>
    <w:rsid w:val="00AE37C3"/>
    <w:rsid w:val="00AE3A98"/>
    <w:rsid w:val="00AF09F1"/>
    <w:rsid w:val="00AF3A6A"/>
    <w:rsid w:val="00B0043F"/>
    <w:rsid w:val="00B02181"/>
    <w:rsid w:val="00B05636"/>
    <w:rsid w:val="00B070A9"/>
    <w:rsid w:val="00B1126A"/>
    <w:rsid w:val="00B14FC5"/>
    <w:rsid w:val="00B161FE"/>
    <w:rsid w:val="00B23C84"/>
    <w:rsid w:val="00B25BE4"/>
    <w:rsid w:val="00B32041"/>
    <w:rsid w:val="00B33538"/>
    <w:rsid w:val="00B3671B"/>
    <w:rsid w:val="00B43E39"/>
    <w:rsid w:val="00B45035"/>
    <w:rsid w:val="00B529A5"/>
    <w:rsid w:val="00B57AAF"/>
    <w:rsid w:val="00B6032D"/>
    <w:rsid w:val="00B61371"/>
    <w:rsid w:val="00B6402A"/>
    <w:rsid w:val="00B73947"/>
    <w:rsid w:val="00B77225"/>
    <w:rsid w:val="00B77656"/>
    <w:rsid w:val="00B80293"/>
    <w:rsid w:val="00B934C0"/>
    <w:rsid w:val="00B97DC3"/>
    <w:rsid w:val="00BA1D88"/>
    <w:rsid w:val="00BA7404"/>
    <w:rsid w:val="00BB1596"/>
    <w:rsid w:val="00BB4CB9"/>
    <w:rsid w:val="00BB5767"/>
    <w:rsid w:val="00BD0BCD"/>
    <w:rsid w:val="00BD1D3D"/>
    <w:rsid w:val="00BD54EF"/>
    <w:rsid w:val="00BE739C"/>
    <w:rsid w:val="00BF0453"/>
    <w:rsid w:val="00BF474C"/>
    <w:rsid w:val="00C01400"/>
    <w:rsid w:val="00C041FF"/>
    <w:rsid w:val="00C04A0E"/>
    <w:rsid w:val="00C051FA"/>
    <w:rsid w:val="00C10716"/>
    <w:rsid w:val="00C33C8B"/>
    <w:rsid w:val="00C36FC3"/>
    <w:rsid w:val="00C37204"/>
    <w:rsid w:val="00C40D54"/>
    <w:rsid w:val="00C514BE"/>
    <w:rsid w:val="00C52188"/>
    <w:rsid w:val="00C726F7"/>
    <w:rsid w:val="00C81E68"/>
    <w:rsid w:val="00CA5A1B"/>
    <w:rsid w:val="00CB6767"/>
    <w:rsid w:val="00CB7959"/>
    <w:rsid w:val="00CB7EFB"/>
    <w:rsid w:val="00CC4B27"/>
    <w:rsid w:val="00CC69E2"/>
    <w:rsid w:val="00CD0C87"/>
    <w:rsid w:val="00CD2AB7"/>
    <w:rsid w:val="00CE0202"/>
    <w:rsid w:val="00CE6F7B"/>
    <w:rsid w:val="00CF4265"/>
    <w:rsid w:val="00CF5E07"/>
    <w:rsid w:val="00CF62D1"/>
    <w:rsid w:val="00D01C76"/>
    <w:rsid w:val="00D05F7C"/>
    <w:rsid w:val="00D0666C"/>
    <w:rsid w:val="00D1613E"/>
    <w:rsid w:val="00D22D0A"/>
    <w:rsid w:val="00D245A3"/>
    <w:rsid w:val="00D2749F"/>
    <w:rsid w:val="00D40EB2"/>
    <w:rsid w:val="00D4221F"/>
    <w:rsid w:val="00D4232F"/>
    <w:rsid w:val="00D473D9"/>
    <w:rsid w:val="00D50EC2"/>
    <w:rsid w:val="00D51390"/>
    <w:rsid w:val="00D515AC"/>
    <w:rsid w:val="00D52C71"/>
    <w:rsid w:val="00D55E7D"/>
    <w:rsid w:val="00D75565"/>
    <w:rsid w:val="00D75EA6"/>
    <w:rsid w:val="00D7633B"/>
    <w:rsid w:val="00D77790"/>
    <w:rsid w:val="00D81FD8"/>
    <w:rsid w:val="00D82676"/>
    <w:rsid w:val="00D8449E"/>
    <w:rsid w:val="00D86B43"/>
    <w:rsid w:val="00D86D47"/>
    <w:rsid w:val="00D87832"/>
    <w:rsid w:val="00D959BA"/>
    <w:rsid w:val="00DA0CC2"/>
    <w:rsid w:val="00DA1252"/>
    <w:rsid w:val="00DA21AB"/>
    <w:rsid w:val="00DA2FF2"/>
    <w:rsid w:val="00DA5259"/>
    <w:rsid w:val="00DB5781"/>
    <w:rsid w:val="00DC1038"/>
    <w:rsid w:val="00DC2566"/>
    <w:rsid w:val="00DC53CC"/>
    <w:rsid w:val="00DD1B6A"/>
    <w:rsid w:val="00DD3756"/>
    <w:rsid w:val="00DD52DA"/>
    <w:rsid w:val="00DE3ECA"/>
    <w:rsid w:val="00DE648F"/>
    <w:rsid w:val="00DF134D"/>
    <w:rsid w:val="00DF2156"/>
    <w:rsid w:val="00DF6751"/>
    <w:rsid w:val="00DF7B82"/>
    <w:rsid w:val="00E07389"/>
    <w:rsid w:val="00E20305"/>
    <w:rsid w:val="00E21D15"/>
    <w:rsid w:val="00E25CC5"/>
    <w:rsid w:val="00E2664C"/>
    <w:rsid w:val="00E275B0"/>
    <w:rsid w:val="00E31099"/>
    <w:rsid w:val="00E3415C"/>
    <w:rsid w:val="00E3733D"/>
    <w:rsid w:val="00E37FF8"/>
    <w:rsid w:val="00E4610F"/>
    <w:rsid w:val="00E5020A"/>
    <w:rsid w:val="00E558D3"/>
    <w:rsid w:val="00E57142"/>
    <w:rsid w:val="00E60B68"/>
    <w:rsid w:val="00E63249"/>
    <w:rsid w:val="00E72681"/>
    <w:rsid w:val="00E75D4E"/>
    <w:rsid w:val="00E75E29"/>
    <w:rsid w:val="00E77832"/>
    <w:rsid w:val="00E8267A"/>
    <w:rsid w:val="00E8283B"/>
    <w:rsid w:val="00E857EF"/>
    <w:rsid w:val="00E87143"/>
    <w:rsid w:val="00E90E1A"/>
    <w:rsid w:val="00E94325"/>
    <w:rsid w:val="00EA1AD0"/>
    <w:rsid w:val="00EA7B93"/>
    <w:rsid w:val="00EB33FC"/>
    <w:rsid w:val="00EB3F34"/>
    <w:rsid w:val="00EC073F"/>
    <w:rsid w:val="00EC09E1"/>
    <w:rsid w:val="00EC3B7D"/>
    <w:rsid w:val="00EC6B42"/>
    <w:rsid w:val="00EC7A61"/>
    <w:rsid w:val="00ED0AFA"/>
    <w:rsid w:val="00ED3742"/>
    <w:rsid w:val="00EE0669"/>
    <w:rsid w:val="00EE5AB3"/>
    <w:rsid w:val="00EE6FDF"/>
    <w:rsid w:val="00EF5A17"/>
    <w:rsid w:val="00F15F85"/>
    <w:rsid w:val="00F2085B"/>
    <w:rsid w:val="00F20B29"/>
    <w:rsid w:val="00F23B51"/>
    <w:rsid w:val="00F31FDB"/>
    <w:rsid w:val="00F3275C"/>
    <w:rsid w:val="00F376A1"/>
    <w:rsid w:val="00F37DD4"/>
    <w:rsid w:val="00F4013C"/>
    <w:rsid w:val="00F42BB1"/>
    <w:rsid w:val="00F42D4A"/>
    <w:rsid w:val="00F43ED4"/>
    <w:rsid w:val="00F518AB"/>
    <w:rsid w:val="00F53BCE"/>
    <w:rsid w:val="00F569A2"/>
    <w:rsid w:val="00F57542"/>
    <w:rsid w:val="00F72340"/>
    <w:rsid w:val="00F73EB9"/>
    <w:rsid w:val="00F741B2"/>
    <w:rsid w:val="00F82123"/>
    <w:rsid w:val="00F84FE1"/>
    <w:rsid w:val="00F85071"/>
    <w:rsid w:val="00F855C8"/>
    <w:rsid w:val="00F9462B"/>
    <w:rsid w:val="00FA00CB"/>
    <w:rsid w:val="00FA0557"/>
    <w:rsid w:val="00FA153E"/>
    <w:rsid w:val="00FA2F83"/>
    <w:rsid w:val="00FA306D"/>
    <w:rsid w:val="00FA4F92"/>
    <w:rsid w:val="00FA5A24"/>
    <w:rsid w:val="00FB039F"/>
    <w:rsid w:val="00FB5E93"/>
    <w:rsid w:val="00FC2664"/>
    <w:rsid w:val="00FC2A96"/>
    <w:rsid w:val="00FC301F"/>
    <w:rsid w:val="00FC3CF5"/>
    <w:rsid w:val="00FC5869"/>
    <w:rsid w:val="00FC7931"/>
    <w:rsid w:val="00FE0315"/>
    <w:rsid w:val="00FE57D9"/>
    <w:rsid w:val="00FF1EEF"/>
    <w:rsid w:val="00FF2BB3"/>
    <w:rsid w:val="00FF3EBF"/>
    <w:rsid w:val="00FF40D8"/>
    <w:rsid w:val="00FF7EA4"/>
    <w:rsid w:val="020224D7"/>
    <w:rsid w:val="023460A6"/>
    <w:rsid w:val="024837DC"/>
    <w:rsid w:val="03CC4C92"/>
    <w:rsid w:val="08162951"/>
    <w:rsid w:val="08B70022"/>
    <w:rsid w:val="0B6F693F"/>
    <w:rsid w:val="0E9834E7"/>
    <w:rsid w:val="12F901BB"/>
    <w:rsid w:val="18C96881"/>
    <w:rsid w:val="19A744E9"/>
    <w:rsid w:val="1B3378BF"/>
    <w:rsid w:val="1DC652EE"/>
    <w:rsid w:val="228757E3"/>
    <w:rsid w:val="239F2B36"/>
    <w:rsid w:val="272B021E"/>
    <w:rsid w:val="29155083"/>
    <w:rsid w:val="2DB9081B"/>
    <w:rsid w:val="312D39F9"/>
    <w:rsid w:val="31951FFC"/>
    <w:rsid w:val="378514F0"/>
    <w:rsid w:val="3B325495"/>
    <w:rsid w:val="3CDC7886"/>
    <w:rsid w:val="3E277A3A"/>
    <w:rsid w:val="40463B8E"/>
    <w:rsid w:val="407D40EC"/>
    <w:rsid w:val="46DF6B9F"/>
    <w:rsid w:val="48B5284B"/>
    <w:rsid w:val="4D9C5E42"/>
    <w:rsid w:val="4E345F3C"/>
    <w:rsid w:val="52A95641"/>
    <w:rsid w:val="568F3E9E"/>
    <w:rsid w:val="576D0D9E"/>
    <w:rsid w:val="57A04676"/>
    <w:rsid w:val="592E1814"/>
    <w:rsid w:val="5C5A2531"/>
    <w:rsid w:val="604C617D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  <w:rsid w:val="7F45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7D9351"/>
  <w15:docId w15:val="{CC885A34-5E70-4D47-8962-F284727C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MS Mincho"/>
    </w:rPr>
  </w:style>
  <w:style w:type="paragraph" w:styleId="a4">
    <w:name w:val="footer"/>
    <w:basedOn w:val="a5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List"/>
    <w:basedOn w:val="a"/>
    <w:qFormat/>
    <w:pPr>
      <w:ind w:left="200" w:hangingChars="200" w:hanging="200"/>
      <w:contextualSpacing/>
    </w:pPr>
  </w:style>
  <w:style w:type="paragraph" w:styleId="5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Doc-text2">
    <w:name w:val="Doc-text2"/>
    <w:basedOn w:val="a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Reference">
    <w:name w:val="Reference"/>
    <w:basedOn w:val="a3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6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列出段落1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20">
    <w:name w:val="列出段落2"/>
    <w:basedOn w:val="a"/>
    <w:qFormat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  <w:style w:type="paragraph" w:customStyle="1" w:styleId="B4">
    <w:name w:val="B4"/>
    <w:basedOn w:val="40"/>
    <w:link w:val="B4Char"/>
    <w:qFormat/>
    <w:pPr>
      <w:spacing w:after="180" w:line="240" w:lineRule="auto"/>
      <w:ind w:leftChars="0" w:left="1418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"/>
    <w:link w:val="B5Char"/>
    <w:qFormat/>
    <w:pPr>
      <w:spacing w:after="180" w:line="240" w:lineRule="auto"/>
      <w:ind w:leftChars="0" w:left="1702" w:firstLineChars="0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12B0-E503-464F-8E8F-ECADA5C6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3635</TotalTime>
  <Pages>2</Pages>
  <Words>637</Words>
  <Characters>3634</Characters>
  <Application>Microsoft Office Word</Application>
  <DocSecurity>0</DocSecurity>
  <Lines>30</Lines>
  <Paragraphs>8</Paragraphs>
  <ScaleCrop>false</ScaleCrop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Liuxiaofei-xiaomi</dc:creator>
  <cp:lastModifiedBy>Liuxiaofei-Xiaomi</cp:lastModifiedBy>
  <cp:revision>572</cp:revision>
  <dcterms:created xsi:type="dcterms:W3CDTF">2022-02-09T06:08:00Z</dcterms:created>
  <dcterms:modified xsi:type="dcterms:W3CDTF">2022-11-04T05:48:00Z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